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7BA88">
      <w:pPr>
        <w:jc w:val="center"/>
        <w:rPr>
          <w:rFonts w:hint="default" w:eastAsiaTheme="minorEastAsia"/>
          <w:sz w:val="36"/>
          <w:szCs w:val="44"/>
          <w:lang w:val="en-US" w:eastAsia="zh-CN"/>
        </w:rPr>
      </w:pPr>
      <w:r>
        <w:rPr>
          <w:rFonts w:hint="eastAsia"/>
          <w:sz w:val="36"/>
          <w:szCs w:val="44"/>
          <w:lang w:val="en-US" w:eastAsia="zh-CN"/>
        </w:rPr>
        <w:t>篮球架参数要求</w:t>
      </w:r>
    </w:p>
    <w:p w14:paraId="62D6F130">
      <w:pPr>
        <w:ind w:firstLine="560" w:firstLineChars="200"/>
        <w:rPr>
          <w:rFonts w:hint="eastAsia"/>
          <w:sz w:val="28"/>
          <w:szCs w:val="36"/>
        </w:rPr>
      </w:pPr>
      <w:r>
        <w:rPr>
          <w:rFonts w:hint="eastAsia"/>
          <w:sz w:val="28"/>
          <w:szCs w:val="36"/>
        </w:rPr>
        <w:t>1、底座:1.95*1.1m（长*宽）、伸臂:2.35m、篮圈高度:3.05m</w:t>
      </w:r>
    </w:p>
    <w:p w14:paraId="2DA511B3">
      <w:pPr>
        <w:rPr>
          <w:rFonts w:hint="eastAsia"/>
          <w:sz w:val="28"/>
          <w:szCs w:val="36"/>
        </w:rPr>
      </w:pPr>
      <w:r>
        <w:rPr>
          <w:rFonts w:hint="eastAsia"/>
          <w:sz w:val="28"/>
          <w:szCs w:val="36"/>
        </w:rPr>
        <w:t>产品结构由底座、立柱、拉杆、伸臂、玻璃篮板、篮圈和护套组成</w:t>
      </w:r>
    </w:p>
    <w:p w14:paraId="21DC3D72">
      <w:pPr>
        <w:rPr>
          <w:rFonts w:hint="eastAsia"/>
          <w:sz w:val="28"/>
          <w:szCs w:val="36"/>
        </w:rPr>
      </w:pPr>
      <w:r>
        <w:rPr>
          <w:rFonts w:hint="eastAsia"/>
          <w:sz w:val="28"/>
          <w:szCs w:val="36"/>
        </w:rPr>
        <w:t>底座材料：除配重箱底板采用δ4mm铁板外，其余均采用δ6mm铁板，材质：Q235B</w:t>
      </w:r>
    </w:p>
    <w:p w14:paraId="5DB6C84D">
      <w:pPr>
        <w:rPr>
          <w:rFonts w:hint="eastAsia"/>
          <w:sz w:val="28"/>
          <w:szCs w:val="36"/>
        </w:rPr>
      </w:pPr>
      <w:r>
        <w:rPr>
          <w:rFonts w:hint="eastAsia"/>
          <w:sz w:val="28"/>
          <w:szCs w:val="36"/>
        </w:rPr>
        <w:t xml:space="preserve"> 配重：本产品的底座配重单只配重≥450Kg</w:t>
      </w:r>
    </w:p>
    <w:p w14:paraId="76065489">
      <w:pPr>
        <w:rPr>
          <w:rFonts w:hint="eastAsia"/>
          <w:sz w:val="28"/>
          <w:szCs w:val="36"/>
        </w:rPr>
      </w:pPr>
      <w:r>
        <w:rPr>
          <w:rFonts w:hint="eastAsia"/>
          <w:sz w:val="28"/>
          <w:szCs w:val="36"/>
        </w:rPr>
        <w:t xml:space="preserve"> 移动：底座置有PU轮，前轮可通过篮架的升降来实现轮子的升降，后轮通过手动微调调节脚的方式来升降轮子；操纵方便，仅需2人操纵就可轻松移动篮架</w:t>
      </w:r>
    </w:p>
    <w:p w14:paraId="2521E72A">
      <w:pPr>
        <w:ind w:firstLine="560" w:firstLineChars="200"/>
        <w:rPr>
          <w:rFonts w:hint="eastAsia"/>
          <w:sz w:val="28"/>
          <w:szCs w:val="36"/>
        </w:rPr>
      </w:pPr>
      <w:r>
        <w:rPr>
          <w:rFonts w:hint="eastAsia"/>
          <w:sz w:val="28"/>
          <w:szCs w:val="36"/>
        </w:rPr>
        <w:t>2、立柱材料：采用口150*70*4mm、口100*70*3mm、口100*100*3mm、δ12mm、δ6mm、φ30mm等方管、铁板及圆钢组成，材质：Q235B</w:t>
      </w:r>
    </w:p>
    <w:p w14:paraId="63ED6A03">
      <w:pPr>
        <w:ind w:firstLine="560" w:firstLineChars="200"/>
        <w:rPr>
          <w:rFonts w:hint="eastAsia"/>
          <w:sz w:val="28"/>
          <w:szCs w:val="36"/>
        </w:rPr>
      </w:pPr>
      <w:r>
        <w:rPr>
          <w:rFonts w:hint="eastAsia"/>
          <w:sz w:val="28"/>
          <w:szCs w:val="36"/>
        </w:rPr>
        <w:t>3、拉杆材料：采用φ48*2mm的圆管</w:t>
      </w:r>
    </w:p>
    <w:p w14:paraId="69473D64">
      <w:pPr>
        <w:ind w:firstLine="560" w:firstLineChars="200"/>
        <w:rPr>
          <w:rFonts w:hint="eastAsia"/>
          <w:sz w:val="28"/>
          <w:szCs w:val="36"/>
        </w:rPr>
      </w:pPr>
      <w:r>
        <w:rPr>
          <w:rFonts w:hint="eastAsia"/>
          <w:sz w:val="28"/>
          <w:szCs w:val="36"/>
        </w:rPr>
        <w:t>4、伸臂材料：采用口140*100*3mm、口100*70*3mm、口70*50*3mm、等方管组成，材质：Q235B</w:t>
      </w:r>
    </w:p>
    <w:p w14:paraId="1C076930">
      <w:pPr>
        <w:ind w:firstLine="560" w:firstLineChars="200"/>
        <w:rPr>
          <w:rFonts w:hint="eastAsia"/>
          <w:sz w:val="28"/>
          <w:szCs w:val="36"/>
        </w:rPr>
      </w:pPr>
      <w:r>
        <w:rPr>
          <w:rFonts w:hint="eastAsia"/>
          <w:sz w:val="28"/>
          <w:szCs w:val="36"/>
        </w:rPr>
        <w:t>5、篮板规格： 篮板配用国际通用的高强度安全玻璃篮板（13mm厚双层夹胶玻璃），规格：1800×1050（mm），具有透明度高、耐侯性好、抗老化、耐腐蚀、不易模糊等特点，并在篮板下沿侧面覆盖有保护圈，保护圈前后表面高度、厚度均≥20mm，底面厚度≥50mm，符合FIBA规则，能有效保护运动员扣篮时不受伤害。篮板弹性500N/min，中心挠度≤6mm，取消外力1min后篮板恢复原状。</w:t>
      </w:r>
    </w:p>
    <w:p w14:paraId="420C50EC">
      <w:pPr>
        <w:ind w:firstLine="560" w:firstLineChars="200"/>
        <w:rPr>
          <w:rFonts w:hint="eastAsia"/>
          <w:sz w:val="28"/>
          <w:szCs w:val="36"/>
        </w:rPr>
      </w:pPr>
      <w:r>
        <w:rPr>
          <w:rFonts w:hint="eastAsia"/>
          <w:sz w:val="28"/>
          <w:szCs w:val="36"/>
        </w:rPr>
        <w:t>6、篮圈材料： 采用φ19实心圆钢和δ6mm铁板，材质Q235B▲依据GB/T23176-2008《篮球架》对所投产品（篮球架）篮圈进行检测。篮圈采用实心圆钢制成，圈条直径为16～20mm，篮圈内径为450～459mm；篮圈下沿有12个均分的系篮网装置，无锐边和毛刺；系篮网装置间隙≤8mm；篮圈内沿至篮板板面的最近间距151±2mm；篮圈固定在支撑篮板的构架上，在固定篮圈的钢板和玻璃篮板之间无直接的接触；篮圈颜色为橙色，色泽均匀一致；弹性篮圈受力1050N，持续1min后旋转角为10°～30°，卸载后迅速恢复原状。提供第三方权威机构出具的带有CMA和CNAS标志和微信二维码扫码查看功能的检验检测报告的复印件加盖公章有效；</w:t>
      </w:r>
    </w:p>
    <w:p w14:paraId="66E439D2">
      <w:pPr>
        <w:ind w:firstLine="560" w:firstLineChars="200"/>
        <w:rPr>
          <w:rFonts w:hint="eastAsia"/>
          <w:sz w:val="28"/>
          <w:szCs w:val="36"/>
        </w:rPr>
      </w:pPr>
      <w:r>
        <w:rPr>
          <w:rFonts w:hint="eastAsia"/>
          <w:sz w:val="28"/>
          <w:szCs w:val="36"/>
        </w:rPr>
        <w:t>7、篮网： 白色尼龙绳，半硬式 表面质量符合GB19272-2011中5.10的相关规定要求</w:t>
      </w:r>
    </w:p>
    <w:p w14:paraId="651451F4">
      <w:pPr>
        <w:ind w:firstLine="560" w:firstLineChars="200"/>
        <w:rPr>
          <w:rFonts w:hint="eastAsia"/>
          <w:sz w:val="28"/>
          <w:szCs w:val="36"/>
        </w:rPr>
      </w:pPr>
      <w:r>
        <w:rPr>
          <w:rFonts w:hint="eastAsia"/>
          <w:sz w:val="28"/>
          <w:szCs w:val="36"/>
        </w:rPr>
        <w:t>8、球架整体环保要求 十环认证产品符合GB19272-2011中5.9.2的相关规定</w:t>
      </w:r>
    </w:p>
    <w:p w14:paraId="492210B2">
      <w:pPr>
        <w:rPr>
          <w:rFonts w:hint="eastAsia"/>
          <w:sz w:val="28"/>
          <w:szCs w:val="36"/>
        </w:rPr>
      </w:pPr>
      <w:r>
        <w:rPr>
          <w:rFonts w:hint="eastAsia"/>
          <w:sz w:val="28"/>
          <w:szCs w:val="36"/>
        </w:rPr>
        <w:t>紧固件 篮架所有紧固件均采用热镀锌处理，能保证长年不生锈底座后方调节脚可微调篮板的垂直度，前加强方管处调节装置可调节前立柱垂直度。</w:t>
      </w:r>
    </w:p>
    <w:p w14:paraId="2D2ECCA0">
      <w:pPr>
        <w:ind w:firstLine="560" w:firstLineChars="200"/>
        <w:rPr>
          <w:rFonts w:hint="eastAsia"/>
          <w:sz w:val="28"/>
          <w:szCs w:val="36"/>
        </w:rPr>
      </w:pPr>
      <w:r>
        <w:rPr>
          <w:rFonts w:hint="eastAsia"/>
          <w:sz w:val="28"/>
          <w:szCs w:val="36"/>
        </w:rPr>
        <w:t>9、球架护套，能保护运动员安全。▲投标人依据GB/T19277.1-2011《受控堆肥条件下材料最终需氧生物分解能力的测定采用测定释放的二氧化碳的方法第1部分∶通用方法》所投产品篮架、篮板保护套经受控需氧堆肥试验检测，45d后参比材料的生物分解率＞70%，试验开始后10d内空白容器中产生的二氧化碳量平均值在(50~150)mgCO2/g挥发性固体，提供检测报告复印件盖公章；</w:t>
      </w:r>
    </w:p>
    <w:p w14:paraId="69103B02">
      <w:pPr>
        <w:ind w:firstLine="560" w:firstLineChars="200"/>
        <w:rPr>
          <w:rFonts w:hint="eastAsia"/>
          <w:sz w:val="28"/>
          <w:szCs w:val="36"/>
        </w:rPr>
      </w:pPr>
      <w:r>
        <w:rPr>
          <w:rFonts w:hint="eastAsia"/>
          <w:sz w:val="28"/>
          <w:szCs w:val="36"/>
          <w:lang w:val="en-US" w:eastAsia="zh-CN"/>
        </w:rPr>
        <w:t>10</w:t>
      </w:r>
      <w:r>
        <w:rPr>
          <w:rFonts w:hint="eastAsia"/>
          <w:sz w:val="28"/>
          <w:szCs w:val="36"/>
        </w:rPr>
        <w:t>、篮板▲依据GB/T23176-2008《篮球架》对所投产品（篮球架）篮板支撑构架水平和垂直变形量进行检测，检测结果水平变形量在支撑构架上施加130N，持续时间1min，卸载后永久性水平变形量≤10mm；垂直变形量在支撑构架上施加2700N，持续时间1min，卸载后永久性变形量≤10mm的得3分。提供第三方权威机构出具的带有CMA和CNAS标志和微信二维码扫码查看功能的检验检测报告的复印件加盖公章；</w:t>
      </w:r>
    </w:p>
    <w:p w14:paraId="0E10F0B9">
      <w:pPr>
        <w:ind w:firstLine="560" w:firstLineChars="200"/>
        <w:rPr>
          <w:rFonts w:hint="eastAsia"/>
          <w:sz w:val="28"/>
          <w:szCs w:val="36"/>
        </w:rPr>
      </w:pPr>
      <w:r>
        <w:rPr>
          <w:rFonts w:hint="eastAsia"/>
          <w:sz w:val="28"/>
          <w:szCs w:val="36"/>
          <w:lang w:val="en-US" w:eastAsia="zh-CN"/>
        </w:rPr>
        <w:t>11</w:t>
      </w:r>
      <w:r>
        <w:rPr>
          <w:rFonts w:hint="eastAsia"/>
          <w:sz w:val="28"/>
          <w:szCs w:val="36"/>
        </w:rPr>
        <w:t>、篮圈</w:t>
      </w:r>
    </w:p>
    <w:p w14:paraId="7151AA8C">
      <w:pPr>
        <w:ind w:firstLine="560"/>
        <w:rPr>
          <w:rFonts w:hint="eastAsia"/>
          <w:sz w:val="22"/>
          <w:szCs w:val="28"/>
        </w:rPr>
      </w:pPr>
      <w:r>
        <w:rPr>
          <w:rFonts w:hint="eastAsia"/>
          <w:sz w:val="28"/>
          <w:szCs w:val="36"/>
        </w:rPr>
        <w:t>篮圈采用φ19实心圆钢制作。▲依据GB/T23176-2008《篮球架》对所投产品（篮球架）篮圈进行检测。篮圈采用实心圆钢制成，圈条直径为16～20mm，篮圈内径为450～459mm；篮圈下沿有12个均分的系篮网装置，无锐边和毛刺；系篮网装置间隙≤8mm；篮圈内沿至篮板板面的最近间距151±2mm；篮圈固定在支撑篮板的构架上，在固定篮圈的钢板和玻璃篮板之间无直接的接触；篮圈颜色为橙色，色泽均匀一致；弹性篮圈受力1050N，持续1min后旋转角为10°～30°，卸载后迅速恢复原状。提供第三方权威机构出具的带有CMA和CNAS标志和微信二维码扫码查看功能的检验检测报告的复印件加盖公章</w:t>
      </w:r>
      <w:r>
        <w:rPr>
          <w:rFonts w:hint="eastAsia"/>
          <w:sz w:val="22"/>
          <w:szCs w:val="28"/>
        </w:rPr>
        <w:t>；</w:t>
      </w:r>
    </w:p>
    <w:p w14:paraId="1BF53427">
      <w:pPr>
        <w:ind w:firstLine="560"/>
        <w:rPr>
          <w:rFonts w:hint="eastAsia"/>
          <w:sz w:val="22"/>
          <w:szCs w:val="28"/>
        </w:rPr>
      </w:pPr>
    </w:p>
    <w:p w14:paraId="55FFE3A4">
      <w:pPr>
        <w:ind w:firstLine="560"/>
        <w:rPr>
          <w:rFonts w:hint="eastAsia"/>
          <w:sz w:val="22"/>
          <w:szCs w:val="28"/>
        </w:rPr>
      </w:pPr>
    </w:p>
    <w:p w14:paraId="38083F97">
      <w:pPr>
        <w:ind w:firstLine="560"/>
        <w:rPr>
          <w:rFonts w:hint="eastAsia"/>
          <w:sz w:val="22"/>
          <w:szCs w:val="28"/>
        </w:rPr>
      </w:pPr>
    </w:p>
    <w:p w14:paraId="76937DB1">
      <w:pPr>
        <w:ind w:firstLine="560"/>
        <w:rPr>
          <w:rFonts w:hint="eastAsia"/>
          <w:sz w:val="22"/>
          <w:szCs w:val="28"/>
        </w:rPr>
      </w:pPr>
    </w:p>
    <w:p w14:paraId="57723280">
      <w:pPr>
        <w:ind w:firstLine="560"/>
        <w:rPr>
          <w:rFonts w:hint="eastAsia"/>
          <w:sz w:val="22"/>
          <w:szCs w:val="28"/>
        </w:rPr>
      </w:pPr>
    </w:p>
    <w:p w14:paraId="5CF79F96">
      <w:pPr>
        <w:ind w:firstLine="560"/>
        <w:rPr>
          <w:rFonts w:hint="eastAsia"/>
          <w:sz w:val="22"/>
          <w:szCs w:val="28"/>
        </w:rPr>
      </w:pPr>
    </w:p>
    <w:p w14:paraId="7A5A348D">
      <w:pPr>
        <w:ind w:firstLine="560"/>
        <w:rPr>
          <w:rFonts w:hint="eastAsia"/>
          <w:sz w:val="22"/>
          <w:szCs w:val="28"/>
        </w:rPr>
      </w:pPr>
    </w:p>
    <w:p w14:paraId="5E9431CF">
      <w:pPr>
        <w:rPr>
          <w:rFonts w:hint="eastAsia"/>
          <w:sz w:val="22"/>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E32B80"/>
    <w:rsid w:val="40E32B80"/>
    <w:rsid w:val="51CC3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1362</Words>
  <Characters>1709</Characters>
  <Lines>0</Lines>
  <Paragraphs>0</Paragraphs>
  <TotalTime>628</TotalTime>
  <ScaleCrop>false</ScaleCrop>
  <LinksUpToDate>false</LinksUpToDate>
  <CharactersWithSpaces>1717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2026-01-14T01:51:00Z</dcterms:created>
  <dc:creator>谷宸</dc:creator>
  <cp:lastModifiedBy>叶逸兴</cp:lastModifiedBy>
  <cp:lastPrinted>2026-01-14T01:54:00Z</cp:lastPrinted>
  <dcterms:modified xsi:type="dcterms:W3CDTF">2026-01-16T07:00:59Z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CC6521C79DF548D78CA1EC75A9022744_11</vt:lpwstr>
  </property>
  <property fmtid="{D5CDD505-2E9C-101B-9397-08002B2CF9AE}" pid="4" name="KSOTemplateDocerSaveRecord">
    <vt:lpwstr>eyJoZGlkIjoiNDRhOWM0MDY4NjcyODA2ZWYyZTYzNGI5OWQ5MmU4Y2EifQ==</vt:lpwstr>
  </property>
</Properties>
</file>